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righ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jc w:val="right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Уличные спортивные площадки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>
        <w:rPr>
          <w:rFonts w:ascii="Franklin Gothic Book" w:hAnsi="Franklin Gothic Book" w:cs="Arial" w:eastAsia="Times New Roman"/>
          <w:lang w:eastAsia="ru-RU"/>
        </w:rPr>
        <w:t xml:space="preserve">   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/>
      <w:bookmarkStart w:id="0" w:name="_GoBack"/>
      <w:r/>
      <w:bookmarkEnd w:id="0"/>
      <w:r/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Franklin Gothic Book" w:hAnsi="Franklin Gothic Book" w:cs="Arial" w:eastAsia="Times New Roman"/>
                <w:b/>
                <w:lang w:eastAsia="ru-RU"/>
              </w:rPr>
            </w:pPr>
            <w:r>
              <w:rPr>
                <w:rFonts w:ascii="Franklin Gothic Book" w:hAnsi="Franklin Gothic Book"/>
                <w:b/>
              </w:rPr>
              <w:t xml:space="preserve">32.30.15.260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/>
                <w:b/>
              </w:rPr>
              <w:t xml:space="preserve">Снаряды, инвентарь и оборудование для детских спортивных площадок, для занятий спортом на открытом воздухе,  в другом месте данной группы не поименованные или не включенные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Балансиры, бревна горизонтальные, наклонные для занятий спортом на открытом воздухе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32.30.15.261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Ворота для футбола/хоккея с сеткой для занятий спортом на открытом воздухе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Гимнастическая стенка для занятий спортом на открытом воздухе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32.30.15.263</w:t>
            </w:r>
            <w:r/>
          </w:p>
        </w:tc>
        <w:tc>
          <w:tcPr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Инвентарь с гимнастическим оборудованием и спортивными снарядами для занятий спортом на открытом воздухе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Инвентарь с оборудованием для подвижных игр для занятий спортом на открытом воздухе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32.30.15.265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Качалка/балансир с предохраняющим амортизатором для занятий спортом на открытом воздухе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32.30.15.266</w:t>
            </w:r>
            <w:r/>
          </w:p>
        </w:tc>
        <w:tc>
          <w:tcPr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Рукоход для занятий спортом на открытом воздухе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32.30.15.267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Стойка с кольцом и сеткой баскетбольная (регулируемая по высоте) для занятий спортом на открытом воздухе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Стойки бадминтонные мобильные с сеткой для занятий спортом на открытом воздухе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32.30.15.269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Стойки волейбольные с сеткой для занятий спортом на открытом воздухе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32.30.15.270</w:t>
            </w:r>
            <w:r/>
          </w:p>
        </w:tc>
        <w:tc>
          <w:tcPr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Стол для настольного тенниса с сеткой для занятий спортом на открытом воздухе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32.30.15.271</w:t>
            </w:r>
            <w:r/>
          </w:p>
        </w:tc>
        <w:tc>
          <w:tcPr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Снаряды, инвентарь и оборудование для детских спортивных площадок прочие, не включенные в другие группировки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32.30.15.290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Изделия спортивные прочие, не включенные в другие группировки</w:t>
            </w:r>
            <w:r/>
          </w:p>
        </w:tc>
      </w:tr>
    </w:tbl>
    <w:p>
      <w:pPr>
        <w:pStyle w:val="677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BF25774-937B-42BC-AB6E-5DB476D0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5</cp:revision>
  <dcterms:created xsi:type="dcterms:W3CDTF">2022-12-25T06:29:00Z</dcterms:created>
  <dcterms:modified xsi:type="dcterms:W3CDTF">2022-12-26T10:22:49Z</dcterms:modified>
</cp:coreProperties>
</file>