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jc w:val="right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Учебное оборудование</w:t>
      </w:r>
      <w:r/>
    </w:p>
    <w:p>
      <w:pPr>
        <w:jc w:val="right"/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jc w:val="right"/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</w:t>
      </w:r>
      <w:r>
        <w:rPr>
          <w:rFonts w:ascii="Franklin Gothic Book" w:hAnsi="Franklin Gothic Book" w:cs="Arial" w:eastAsia="Times New Roman"/>
          <w:lang w:eastAsia="ru-RU"/>
        </w:rPr>
        <w:t xml:space="preserve">   </w:t>
      </w:r>
      <w:r/>
    </w:p>
    <w:p>
      <w:pPr>
        <w:jc w:val="right"/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/>
      <w:bookmarkStart w:id="0" w:name="_GoBack"/>
      <w:r/>
      <w:bookmarkEnd w:id="0"/>
      <w:r/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</w:tblGrid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Изделия прочие, не включенные в другие группировки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Приборы, аппаратура и модели, предназначенные для демонстрационных целей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Оборудование для обучения трудовым процессам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для обучения трудовым процессам детей в учебных заведениях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для обучения трудовым процессам станочное, в том числе с системами визуализации обработки и ЧПУ в учебных заведениях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лабораторное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 стенды демонстрационные для обучения трудовым процессам в учебных заведений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Приборы, аппаратура и модели, учебное демонстрационное оборудование, применяемые при обучении физике и иным техническим наукам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Приборы, аппаратура и модели, применяемые при обучении в механике, пневматике, мехатроник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е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систем автоматизированного управления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Приборы, аппаратура и модели, применяемые при обучении в химии и техническим наукам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для лабораторных и практических занятий, практикумов по естествознанию в учебных заведений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Оборудование рабочих мест преподавателей и мастеров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Комплект оборудования для проведения лабораторных работ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о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борудование  для обучения трудовым процессам в учебных заведениях прочее, не включенное в другие группировки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Тренажеры для профессионального обучения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Тренажеры, предназначенные для демонстрационных целей, применяемые при обучении в физике, химии и техническим наукам в учебных заведениях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 для обучения основам безопасности жизнедеятельности (ОБЖ) в учебных заведениях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Тренажеры, применяемые при обучении в инженерных классах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Тренажеры, применяемые при обучении в медико-биологических классах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 для изучения возобновляемых источников энергии (солнечной, ветровой энергии, биологической, механической и термоэлектрической энергетики)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Демонстрационные приборы - тренажеры. Механика, молекулярная физика, электродинамика и звуковые волны, оптика и квантовая физика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Мобильные учебные комплексы и тренажеры для проведения исследований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Тренажеры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ч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асти составные тренажеров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для обучения в учебных заведениях прочие, не включенное в другие группировки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32.99.53.130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Приборы, аппаратура и устройства учебные демонстрационные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32.99.53.131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Учебно-демонстрационное модульные устройства для учебных заведений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32.99.53.132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Приборы, аппаратура и устройства, учебно-методические стенды  для лабораторных работ и ученических опытов для учебных заведений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Лабораторно-технологическое оборудование, наборы для химических опытов и аналогичных занятий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Лабораторно-технологическое оборудование, наборы и комплекты для лабораторного практикума, применяемые при обучении физике и техническим наукам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Комплексы лабораторные для учебной практической и проектной деятельности по естествознанию 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Наборы учебные для проведения фронтальных лабораторных работ и аттестации, комплекты предметные ГИА (ОГЭ), ЕГЭ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Наборы учебных компонентов для конструирования и модерирования летательных аппаратов, подвижных механизмов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 w:eastAsia="Times New Roman"/>
                <w:sz w:val="22"/>
                <w:szCs w:val="22"/>
              </w:rPr>
            </w:pPr>
            <w:r>
              <w:rPr>
                <w:rFonts w:ascii="Franklin Gothic Book" w:hAnsi="Franklin Gothic Book" w:eastAsia="Times New Roman"/>
                <w:sz w:val="22"/>
                <w:szCs w:val="22"/>
              </w:rPr>
              <w:t xml:space="preserve">Конструкторы для изучения основ робототехники, электроники микропроцессоров, информационных систем и устройств робототехнических, системы управления робототехническими комплексами, андроидные роботы ученические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 w:eastAsia="Times New Roman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Приборы, аппаратура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п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риспособления для экспонирования и показа работ учащихся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у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злы и детали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механизмы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 устройства учебные демонстрационные прочие, не включенные в другие группировки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4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0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Доски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классные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обыкновенные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створчатые 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3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раздвижные 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4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ленточные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5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прочие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32.99.53.190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Модели, макеты и аналогичные изделия демонстрационные прочие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32.99.53.191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Модели, макеты, муляжи, аппликации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объекты натуральные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 аналогичные изделия учебные демонстрационные по анатомии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Модели, макеты, муляжи, аппликации, коллекции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объекты натуральные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 аналогичные изделия учебные демонстрационные по зоологии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Наборы демонстрационные для изучения тем общеобразовательной программы по естествознанию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32.99.53.194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Изделия, тела,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реактивы,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п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риспособления для демонстрации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коллекции учебные демонстрационные прочие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Модели, макеты, муляжи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реактивы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 аналогичные изделия учебные демонстрационные прочие, не включенное в другие группировки</w:t>
            </w:r>
            <w:r/>
          </w:p>
        </w:tc>
      </w:tr>
    </w:tbl>
    <w:p>
      <w:pPr>
        <w:pStyle w:val="677"/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r>
      <w:r/>
    </w:p>
    <w:p>
      <w:pPr>
        <w:pStyle w:val="677"/>
        <w:jc w:val="both"/>
        <w:rPr>
          <w:rFonts w:ascii="Franklin Gothic Book" w:hAnsi="Franklin Gothic Book" w:cs="Arial" w:eastAsia="Times New Roman"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sz w:val="26"/>
          <w:szCs w:val="26"/>
          <w:lang w:eastAsia="ru-RU"/>
        </w:rPr>
        <w:tab/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5984216-0B6A-41FC-890B-8057D3F8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14</cp:revision>
  <dcterms:created xsi:type="dcterms:W3CDTF">2022-12-25T07:07:00Z</dcterms:created>
  <dcterms:modified xsi:type="dcterms:W3CDTF">2022-12-26T10:23:25Z</dcterms:modified>
</cp:coreProperties>
</file>