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 w:eastAsia="Arial"/>
          <w:color w:val="595959"/>
          <w:sz w:val="22"/>
        </w:rPr>
        <w:t>Приложение № 1</w:t>
      </w:r>
    </w:p>
    <w:p>
      <w:pPr>
        <w:pStyle w:val="Title"/>
        <w:jc w:val="left"/>
        <w:pBdr>
          <w:bottom w:val="single" w:sz="8" w:space="6" w:color="2F5597"/>
        </w:pBdr>
      </w:pPr>
      <w:r>
        <w:t>Информация для участников отбора</w:t>
      </w:r>
    </w:p>
    <w:p>
      <w:pPr>
        <w:jc w:val="left"/>
      </w:pPr>
      <w:r>
        <w:rPr>
          <w:rFonts w:ascii="Arial" w:hAnsi="Arial" w:eastAsia="Arial"/>
          <w:color w:val="595959"/>
          <w:sz w:val="22"/>
        </w:rPr>
        <w:t>к анонсу АИДТ об открытом приеме предложений от лабораторий и экспертных организаций для проведения независимого исследования одноразовых впитывающих изделий</w:t>
      </w:r>
    </w:p>
    <w:tbl>
      <w:tblPr>
        <w:tblW w:type="auto" w:w="0"/>
        <w:jc w:val="center"/>
        <w:tblLook w:firstColumn="1" w:firstRow="1" w:lastColumn="0" w:lastRow="0" w:noHBand="0" w:noVBand="1" w:val="04A0"/>
        <w:tblCellMar>
          <w:top w:w="160" w:type="dxa"/>
          <w:start w:w="180" w:type="dxa"/>
          <w:bottom w:w="160" w:type="dxa"/>
          <w:end w:w="180" w:type="dxa"/>
        </w:tblCellMar>
      </w:tblPr>
      <w:tblGrid>
        <w:gridCol w:w="9972"/>
      </w:tblGrid>
      <w:tr>
        <w:tc>
          <w:tcPr>
            <w:tcW w:type="dxa" w:w="9972"/>
            <w:shd w:fill="F4F7FB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</w:tcPr>
          <w:p>
            <w:r>
              <w:rPr>
                <w:b/>
                <w:color w:val="1F4E79"/>
                <w:sz w:val="20"/>
              </w:rPr>
              <w:t>Назначение документа</w:t>
            </w:r>
          </w:p>
          <w:p>
            <w:pPr>
              <w:spacing w:before="60"/>
            </w:pPr>
            <w:r>
              <w:rPr>
                <w:color w:val="303030"/>
                <w:sz w:val="20"/>
              </w:rPr>
              <w:t>Документ не дублирует новость на сайте. Он дает потенциальному участнику короткую рабочую рамку отбора перед заполнением формы предложения: предмет работ, возможные направления участия, работу с образцами, ожидаемый результат и порядок направления отклика.</w:t>
            </w:r>
          </w:p>
        </w:tc>
      </w:tr>
    </w:tbl>
    <w:p/>
    <w:p>
      <w:pPr>
        <w:pStyle w:val="Heading1"/>
      </w:pPr>
      <w:r>
        <w:t>1. Статус документа</w:t>
      </w:r>
    </w:p>
    <w:p>
      <w:r>
        <w:t>Настоящая информация подготовлена для первичного информирования организаций и специалистов, заинтересованных в участии в открытом отборе АИДТ. Документ используется для понимания предмета отбора, возможных направлений экспертизы и ожидаемого формата результата.</w:t>
      </w:r>
    </w:p>
    <w:p>
      <w:r>
        <w:t>Направление формы предложения участника отбора является первичным предоставлением сведений о компетенции и не создает обязательств по заключению договора. Подробное техническое задание может быть направлено организациям и специалистам после получения первичного отклика и подтверждения релевантной компетенции по одному или нескольким направлениям работ.</w:t>
      </w:r>
    </w:p>
    <w:p>
      <w:pPr>
        <w:pStyle w:val="Heading1"/>
      </w:pPr>
      <w:r>
        <w:t>2. Предмет отбора</w:t>
      </w:r>
    </w:p>
    <w:p>
      <w:r>
        <w:t>АИДТ проводит первичный сбор предложений от аккредитованных испытательных лабораторий, патентных экспертов, технических специалистов, материаловедческих и экспертных организаций для проведения независимого исследования одноразовых впитывающих изделий.</w:t>
      </w:r>
    </w:p>
    <w:p>
      <w:r>
        <w:t>Работа связана с необходимостью объективной оценки технических и патентно-значимых обстоятельств, относящихся к применению патента РФ № 224002 на полезную модель.</w:t>
      </w:r>
    </w:p>
    <w:p>
      <w:r>
        <w:t>Предмет исследования — установление того, подтверждается ли в конкретных образцах наличие всей совокупности существенных признаков независимого пункта 1 формулы полезной модели по патенту РФ № 224002, либо отдельные признаки отсутствуют, не подтверждаются или требуют дополнительных методов исследования.</w:t>
      </w:r>
    </w:p>
    <w:p>
      <w:pPr>
        <w:pStyle w:val="Heading1"/>
      </w:pPr>
      <w:r>
        <w:t>3. Что не является предметом исследования</w:t>
      </w:r>
    </w:p>
    <w:p>
      <w:pPr>
        <w:pStyle w:val="ListBullet"/>
        <w:spacing w:after="40"/>
      </w:pPr>
      <w:r>
        <w:rPr>
          <w:sz w:val="20"/>
        </w:rPr>
        <w:t>сравнительная оценка качества, безопасности, потребительских свойств или рыночной привлекательности отдельных товаров, брендов, производителей, импортеров, поставщиков или продавцов;</w:t>
      </w:r>
    </w:p>
    <w:p>
      <w:pPr>
        <w:pStyle w:val="ListBullet"/>
        <w:spacing w:after="40"/>
      </w:pPr>
      <w:r>
        <w:rPr>
          <w:sz w:val="20"/>
        </w:rPr>
        <w:t>обсуждение цен товаров, объемов поставок, коммерческих условий, каналов продаж, отношений с торговыми сетями, аптечными каналами, маркетплейсами и иными участниками рынка;</w:t>
      </w:r>
    </w:p>
    <w:p>
      <w:pPr>
        <w:pStyle w:val="ListBullet"/>
        <w:spacing w:after="40"/>
      </w:pPr>
      <w:r>
        <w:rPr>
          <w:sz w:val="20"/>
        </w:rPr>
        <w:t>сбор конкурентно чувствительной информации о деятельности участников рынка;</w:t>
      </w:r>
    </w:p>
    <w:p>
      <w:pPr>
        <w:pStyle w:val="ListBullet"/>
        <w:spacing w:after="40"/>
      </w:pPr>
      <w:r>
        <w:rPr>
          <w:sz w:val="20"/>
        </w:rPr>
        <w:t>формирование заранее заданного вывода о наличии или отсутствии признаков полезной модели.</w:t>
      </w:r>
    </w:p>
    <w:p>
      <w:r>
        <w:t>Предметом предложения являются только экспертные, лабораторные, исследовательские, патентоведческие, методические или консультационные работы.</w:t>
      </w:r>
    </w:p>
    <w:p>
      <w:pPr>
        <w:pStyle w:val="Heading1"/>
      </w:pPr>
      <w:r>
        <w:t>4. Возможные направления участия</w:t>
      </w:r>
    </w:p>
    <w:p>
      <w:r>
        <w:t>Участник может представить предложение как по всему комплексу работ, так и по одному или нескольким экспертным направлениям.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CellMar>
          <w:top w:w="120" w:type="dxa"/>
          <w:start w:w="120" w:type="dxa"/>
          <w:bottom w:w="120" w:type="dxa"/>
          <w:end w:w="120" w:type="dxa"/>
        </w:tblCellMar>
      </w:tblPr>
      <w:tblGrid>
        <w:gridCol w:w="4986"/>
        <w:gridCol w:w="4986"/>
      </w:tblGrid>
      <w:tr>
        <w:tc>
          <w:tcPr>
            <w:tcW w:type="dxa" w:w="4986"/>
            <w:shd w:fill="D9EAF7"/>
            <w:tcBorders>
              <w:top w:val="single" w:sz="6" w:space="0" w:color="9EADCC"/>
              <w:left w:val="single" w:sz="6" w:space="0" w:color="9EADCC"/>
              <w:bottom w:val="single" w:sz="6" w:space="0" w:color="9EADCC"/>
              <w:right w:val="single" w:sz="6" w:space="0" w:color="9EADCC"/>
            </w:tcBorders>
            <w:vAlign w:val="center"/>
          </w:tcPr>
          <w:p>
            <w:r>
              <w:rPr>
                <w:rFonts w:ascii="Arial" w:hAnsi="Arial" w:eastAsia="Arial"/>
                <w:b/>
                <w:color w:val="1F4E79"/>
                <w:sz w:val="19"/>
              </w:rPr>
              <w:t>Направление</w:t>
            </w:r>
          </w:p>
        </w:tc>
        <w:tc>
          <w:tcPr>
            <w:tcW w:type="dxa" w:w="4986"/>
            <w:shd w:fill="D9EAF7"/>
            <w:tcBorders>
              <w:top w:val="single" w:sz="6" w:space="0" w:color="9EADCC"/>
              <w:left w:val="single" w:sz="6" w:space="0" w:color="9EADCC"/>
              <w:bottom w:val="single" w:sz="6" w:space="0" w:color="9EADCC"/>
              <w:right w:val="single" w:sz="6" w:space="0" w:color="9EADCC"/>
            </w:tcBorders>
            <w:vAlign w:val="center"/>
          </w:tcPr>
          <w:p>
            <w:r>
              <w:rPr>
                <w:rFonts w:ascii="Arial" w:hAnsi="Arial" w:eastAsia="Arial"/>
                <w:b/>
                <w:color w:val="1F4E79"/>
                <w:sz w:val="19"/>
              </w:rPr>
              <w:t>Содержание работ</w:t>
            </w:r>
          </w:p>
        </w:tc>
      </w:tr>
      <w:tr>
        <w:tc>
          <w:tcPr>
            <w:tcW w:type="dxa" w:w="4986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sz w:val="18"/>
              </w:rPr>
              <w:t>Патентоведческая экспертиза</w:t>
            </w:r>
          </w:p>
        </w:tc>
        <w:tc>
          <w:tcPr>
            <w:tcW w:type="dxa" w:w="4986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  <w:t>Анализ независимого пункта 1 формулы патента РФ № 224002, выделение существенных признаков, оценка возможной эквивалентности признаков.</w:t>
            </w:r>
          </w:p>
        </w:tc>
      </w:tr>
      <w:tr>
        <w:tc>
          <w:tcPr>
            <w:tcW w:type="dxa" w:w="4986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sz w:val="18"/>
              </w:rPr>
              <w:t>Патентно-техническое сопоставление</w:t>
            </w:r>
          </w:p>
        </w:tc>
        <w:tc>
          <w:tcPr>
            <w:tcW w:type="dxa" w:w="4986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  <w:t>Сопоставление признаков формулы полезной модели с фактическими конструктивными, материаловедческими и функциональными характеристиками конкретных образцов.</w:t>
            </w:r>
          </w:p>
        </w:tc>
      </w:tr>
      <w:tr>
        <w:tc>
          <w:tcPr>
            <w:tcW w:type="dxa" w:w="4986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sz w:val="18"/>
              </w:rPr>
              <w:t>Лабораторное материаловедческое исследование</w:t>
            </w:r>
          </w:p>
        </w:tc>
        <w:tc>
          <w:tcPr>
            <w:tcW w:type="dxa" w:w="4986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  <w:t>Послойный анализ изделия, исследование впитывающей сердцевины, супервпитывающего полимерного материала, нетканых материалов, промежуточного слоя, структуры волокон и иных технически значимых элементов.</w:t>
            </w:r>
          </w:p>
        </w:tc>
      </w:tr>
      <w:tr>
        <w:tc>
          <w:tcPr>
            <w:tcW w:type="dxa" w:w="4986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sz w:val="18"/>
              </w:rPr>
              <w:t>Функциональные испытания</w:t>
            </w:r>
          </w:p>
        </w:tc>
        <w:tc>
          <w:tcPr>
            <w:tcW w:type="dxa" w:w="4986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  <w:t>Проверка направления движения жидкости между слоями, распределения жидкости в плоскостном направлении и роли отдельных конструктивных элементов изделия.</w:t>
            </w:r>
          </w:p>
        </w:tc>
      </w:tr>
      <w:tr>
        <w:tc>
          <w:tcPr>
            <w:tcW w:type="dxa" w:w="4986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sz w:val="18"/>
              </w:rPr>
              <w:t>Техническое регулирование, стандартизация и оценка соответствия</w:t>
            </w:r>
          </w:p>
        </w:tc>
        <w:tc>
          <w:tcPr>
            <w:tcW w:type="dxa" w:w="4986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  <w:t>Оценка того, какие признаки являются типовыми для одноразовых впитывающих изделий, а какие требуют отдельной патентно-технической оценки.</w:t>
            </w:r>
          </w:p>
        </w:tc>
      </w:tr>
      <w:tr>
        <w:tc>
          <w:tcPr>
            <w:tcW w:type="dxa" w:w="4986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sz w:val="18"/>
              </w:rPr>
              <w:t>Методологическая и доказательственная оценка</w:t>
            </w:r>
          </w:p>
        </w:tc>
        <w:tc>
          <w:tcPr>
            <w:tcW w:type="dxa" w:w="4986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  <w:t>Анализ применимости методов исследования, воспроизводимости результатов, ограничений методики и возможности использования заключения в претензионной, административной или судебной работе.</w:t>
            </w:r>
          </w:p>
        </w:tc>
      </w:tr>
    </w:tbl>
    <w:p>
      <w:pPr>
        <w:pStyle w:val="Heading1"/>
      </w:pPr>
      <w:r>
        <w:t>5. Работа с образцами</w:t>
      </w:r>
    </w:p>
    <w:p>
      <w:r>
        <w:t>В случае привлечения участника к выполнению работ образцы одноразовых впитывающих изделий могут передаваться по акту приема-передачи с указанием идентификационных сведений.</w:t>
      </w:r>
    </w:p>
    <w:p>
      <w:r>
        <w:t>От участника может потребоваться:</w:t>
      </w:r>
    </w:p>
    <w:p>
      <w:pPr>
        <w:pStyle w:val="ListBullet"/>
        <w:spacing w:after="40"/>
      </w:pPr>
      <w:r>
        <w:rPr>
          <w:sz w:val="20"/>
        </w:rPr>
        <w:t>фиксация получения образцов и присвоение им идентификационных номеров;</w:t>
      </w:r>
    </w:p>
    <w:p>
      <w:pPr>
        <w:pStyle w:val="ListBullet"/>
        <w:spacing w:after="40"/>
      </w:pPr>
      <w:r>
        <w:rPr>
          <w:sz w:val="20"/>
        </w:rPr>
        <w:t>фото- и/или видеофиксация этапов исследования;</w:t>
      </w:r>
    </w:p>
    <w:p>
      <w:pPr>
        <w:pStyle w:val="ListBullet"/>
        <w:spacing w:after="40"/>
      </w:pPr>
      <w:r>
        <w:rPr>
          <w:sz w:val="20"/>
        </w:rPr>
        <w:t>учет вскрытия упаковки, послойного разбора, отбора проб и проведения испытаний;</w:t>
      </w:r>
    </w:p>
    <w:p>
      <w:pPr>
        <w:pStyle w:val="ListBullet"/>
        <w:spacing w:after="40"/>
      </w:pPr>
      <w:r>
        <w:rPr>
          <w:sz w:val="20"/>
        </w:rPr>
        <w:t>обеспечение хранения остатков образцов, проб или контрольных экземпляров в согласованном порядке;</w:t>
      </w:r>
    </w:p>
    <w:p>
      <w:pPr>
        <w:pStyle w:val="ListBullet"/>
        <w:spacing w:after="40"/>
      </w:pPr>
      <w:r>
        <w:rPr>
          <w:sz w:val="20"/>
        </w:rPr>
        <w:t>возврат остатков образцов или подготовленных проб, если это предусмотрено согласованным порядком работ.</w:t>
      </w:r>
    </w:p>
    <w:p>
      <w:r>
        <w:t>Порядок передачи, хранения, исследования и возврата образцов определяется дополнительно с учетом характера выполняемых работ.</w:t>
      </w:r>
    </w:p>
    <w:p>
      <w:pPr>
        <w:pStyle w:val="Heading1"/>
      </w:pPr>
      <w:r>
        <w:t>6. Ожидаемый результат</w:t>
      </w:r>
    </w:p>
    <w:p>
      <w:r>
        <w:t>В зависимости от направления работ результат может включать:</w:t>
      </w:r>
    </w:p>
    <w:p>
      <w:pPr>
        <w:pStyle w:val="ListBullet"/>
        <w:spacing w:after="40"/>
      </w:pPr>
      <w:r>
        <w:rPr>
          <w:sz w:val="20"/>
        </w:rPr>
        <w:t>патентоведческое или патентно-техническое заключение;</w:t>
      </w:r>
    </w:p>
    <w:p>
      <w:pPr>
        <w:pStyle w:val="ListBullet"/>
        <w:spacing w:after="40"/>
      </w:pPr>
      <w:r>
        <w:rPr>
          <w:sz w:val="20"/>
        </w:rPr>
        <w:t>лабораторный протокол или протокол материаловедческого исследования;</w:t>
      </w:r>
    </w:p>
    <w:p>
      <w:pPr>
        <w:pStyle w:val="ListBullet"/>
        <w:spacing w:after="40"/>
      </w:pPr>
      <w:r>
        <w:rPr>
          <w:sz w:val="20"/>
        </w:rPr>
        <w:t>протокол функциональных испытаний;</w:t>
      </w:r>
    </w:p>
    <w:p>
      <w:pPr>
        <w:pStyle w:val="ListBullet"/>
        <w:spacing w:after="40"/>
      </w:pPr>
      <w:r>
        <w:rPr>
          <w:sz w:val="20"/>
        </w:rPr>
        <w:t>таблицу сопоставления признаков формулы патента с результатами исследования образцов;</w:t>
      </w:r>
    </w:p>
    <w:p>
      <w:pPr>
        <w:pStyle w:val="ListBullet"/>
        <w:spacing w:after="40"/>
      </w:pPr>
      <w:r>
        <w:rPr>
          <w:sz w:val="20"/>
        </w:rPr>
        <w:t>методическое заключение о применимости методов и ограничениях исследования;</w:t>
      </w:r>
    </w:p>
    <w:p>
      <w:pPr>
        <w:pStyle w:val="ListBullet"/>
        <w:spacing w:after="40"/>
      </w:pPr>
      <w:r>
        <w:rPr>
          <w:sz w:val="20"/>
        </w:rPr>
        <w:t>фото- и/или видеофиксацию этапов исследования;</w:t>
      </w:r>
    </w:p>
    <w:p>
      <w:pPr>
        <w:pStyle w:val="ListBullet"/>
        <w:spacing w:after="40"/>
      </w:pPr>
      <w:r>
        <w:rPr>
          <w:sz w:val="20"/>
        </w:rPr>
        <w:t>иные документы, подтверждающие проведенные работы и полученные результаты.</w:t>
      </w:r>
    </w:p>
    <w:tbl>
      <w:tblPr>
        <w:tblW w:type="auto" w:w="0"/>
        <w:jc w:val="center"/>
        <w:tblLook w:firstColumn="1" w:firstRow="1" w:lastColumn="0" w:lastRow="0" w:noHBand="0" w:noVBand="1" w:val="04A0"/>
        <w:tblCellMar>
          <w:top w:w="160" w:type="dxa"/>
          <w:start w:w="180" w:type="dxa"/>
          <w:bottom w:w="160" w:type="dxa"/>
          <w:end w:w="180" w:type="dxa"/>
        </w:tblCellMar>
      </w:tblPr>
      <w:tblGrid>
        <w:gridCol w:w="9972"/>
      </w:tblGrid>
      <w:tr>
        <w:tc>
          <w:tcPr>
            <w:tcW w:type="dxa" w:w="9972"/>
            <w:shd w:fill="F4F7FB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</w:tcPr>
          <w:p>
            <w:r>
              <w:rPr>
                <w:b/>
                <w:color w:val="1F4E79"/>
                <w:sz w:val="20"/>
              </w:rPr>
              <w:t>Ключевой ожидаемый результат</w:t>
            </w:r>
          </w:p>
          <w:p>
            <w:pPr>
              <w:spacing w:before="60"/>
            </w:pPr>
            <w:r>
              <w:rPr>
                <w:color w:val="303030"/>
                <w:sz w:val="20"/>
              </w:rPr>
              <w:t>По каждому исследованному образцу должно быть возможно объективно установить, подтверждается ли наличие всей совокупности признаков независимого пункта 1 формулы патента РФ № 224002, либо какие признаки отсутствуют, не подтверждаются или требуют дополнительных исследований.</w:t>
            </w:r>
          </w:p>
        </w:tc>
      </w:tr>
    </w:tbl>
    <w:p/>
    <w:p>
      <w:pPr>
        <w:pStyle w:val="Heading1"/>
      </w:pPr>
      <w:r>
        <w:t>7. Что необходимо направить участнику отбора</w:t>
      </w:r>
    </w:p>
    <w:p>
      <w:r>
        <w:t>Для первичного рассмотрения предложения просим направить:</w:t>
      </w:r>
    </w:p>
    <w:p>
      <w:pPr>
        <w:pStyle w:val="ListNumber"/>
        <w:spacing w:after="40"/>
      </w:pPr>
      <w:r>
        <w:rPr>
          <w:sz w:val="20"/>
        </w:rPr>
        <w:t>заполненную форму предложения участника отбора;</w:t>
      </w:r>
    </w:p>
    <w:p>
      <w:pPr>
        <w:pStyle w:val="ListNumber"/>
        <w:spacing w:after="40"/>
      </w:pPr>
      <w:r>
        <w:rPr>
          <w:sz w:val="20"/>
        </w:rPr>
        <w:t>сведения о статусе, аккредитации или иной подтвержденной компетенции;</w:t>
      </w:r>
    </w:p>
    <w:p>
      <w:pPr>
        <w:pStyle w:val="ListNumber"/>
        <w:spacing w:after="40"/>
      </w:pPr>
      <w:r>
        <w:rPr>
          <w:sz w:val="20"/>
        </w:rPr>
        <w:t>описание направления работ, которые участник готов выполнить;</w:t>
      </w:r>
    </w:p>
    <w:p>
      <w:pPr>
        <w:pStyle w:val="ListNumber"/>
        <w:spacing w:after="40"/>
      </w:pPr>
      <w:r>
        <w:rPr>
          <w:sz w:val="20"/>
        </w:rPr>
        <w:t>краткое описание предлагаемых методов;</w:t>
      </w:r>
    </w:p>
    <w:p>
      <w:pPr>
        <w:pStyle w:val="ListNumber"/>
        <w:spacing w:after="40"/>
      </w:pPr>
      <w:r>
        <w:rPr>
          <w:sz w:val="20"/>
        </w:rPr>
        <w:t>ориентировочные сроки выполнения работ;</w:t>
      </w:r>
    </w:p>
    <w:p>
      <w:pPr>
        <w:pStyle w:val="ListNumber"/>
        <w:spacing w:after="40"/>
      </w:pPr>
      <w:r>
        <w:rPr>
          <w:sz w:val="20"/>
        </w:rPr>
        <w:t>ориентировочную стоимость экспертных, лабораторных, исследовательских или консультационных услуг;</w:t>
      </w:r>
    </w:p>
    <w:p>
      <w:pPr>
        <w:pStyle w:val="ListNumber"/>
        <w:spacing w:after="40"/>
      </w:pPr>
      <w:r>
        <w:rPr>
          <w:sz w:val="20"/>
        </w:rPr>
        <w:t>сведения о возможных соисполнителях, если они предполагаются;</w:t>
      </w:r>
    </w:p>
    <w:p>
      <w:pPr>
        <w:pStyle w:val="ListNumber"/>
        <w:spacing w:after="40"/>
      </w:pPr>
      <w:r>
        <w:rPr>
          <w:sz w:val="20"/>
        </w:rPr>
        <w:t>сведения о наличии либо отсутствии возможного конфликта интересов.</w:t>
      </w:r>
    </w:p>
    <w:p>
      <w:r>
        <w:t>Подробные сведения о специалистах, оборудовании, методиках, релевантном опыте и примеры документов могут быть представлены как дополнительные приложения либо направлены по запросу АИДТ.</w:t>
      </w:r>
    </w:p>
    <w:p>
      <w:pPr>
        <w:pStyle w:val="Heading1"/>
      </w:pPr>
      <w:r>
        <w:t>8. Порядок направления предложений</w:t>
      </w:r>
    </w:p>
    <w:tbl>
      <w:tblPr>
        <w:tblW w:type="auto" w:w="0"/>
        <w:jc w:val="center"/>
        <w:tblLook w:firstColumn="1" w:firstRow="1" w:lastColumn="0" w:lastRow="0" w:noHBand="0" w:noVBand="1" w:val="04A0"/>
        <w:tblCellMar>
          <w:top w:w="160" w:type="dxa"/>
          <w:start w:w="180" w:type="dxa"/>
          <w:bottom w:w="160" w:type="dxa"/>
          <w:end w:w="180" w:type="dxa"/>
        </w:tblCellMar>
      </w:tblPr>
      <w:tblGrid>
        <w:gridCol w:w="9972"/>
      </w:tblGrid>
      <w:tr>
        <w:tc>
          <w:tcPr>
            <w:tcW w:type="dxa" w:w="9972"/>
            <w:shd w:fill="F4F7FB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</w:tcPr>
          <w:p>
            <w:r>
              <w:rPr>
                <w:b/>
                <w:color w:val="1F4E79"/>
                <w:sz w:val="20"/>
              </w:rPr>
              <w:t>Срок и адрес направления</w:t>
            </w:r>
          </w:p>
          <w:p>
            <w:pPr>
              <w:spacing w:before="60"/>
            </w:pPr>
            <w:r>
              <w:rPr>
                <w:color w:val="303030"/>
                <w:sz w:val="20"/>
              </w:rPr>
              <w:t>Предложения принимаются до 06.07.2026 по адресу: info@acgi.ru. В теме письма просим указать: «Экспертиза по одноразовым впитывающим изделиям / патент № 224002».</w:t>
            </w:r>
          </w:p>
        </w:tc>
      </w:tr>
    </w:tbl>
    <w:p/>
    <w:p>
      <w:r>
        <w:t>После получения первичного отклика АИДТ вправе запросить дополнительные сведения, направить участнику подробное техническое задание, предложить участие по отдельному направлению работ либо рассмотреть возможность включения организации или специалиста в комплексную экспертную группу.</w:t>
      </w:r>
    </w:p>
    <w:p>
      <w:pPr>
        <w:pStyle w:val="Heading1"/>
      </w:pPr>
      <w:r>
        <w:t>9. Контактные данные и персональные данные</w:t>
      </w:r>
    </w:p>
    <w:p>
      <w:r>
        <w:t>Направляя предложение, участник подтверждает правомерность предоставления указанных контактных данных и сведений о специалистах для рассмотрения предложения в рамках отбора. Контактные данные используются для связи по вопросам участия в отборе, уточнения компетенции и направления дополнительных материалов по предмету работ.</w:t>
      </w:r>
    </w:p>
    <w:p>
      <w:pPr>
        <w:spacing w:before="160"/>
      </w:pPr>
      <w:r>
        <w:rPr>
          <w:rFonts w:ascii="Arial" w:hAnsi="Arial" w:eastAsia="Arial"/>
          <w:b/>
          <w:color w:val="1F4E79"/>
          <w:sz w:val="20"/>
        </w:rPr>
        <w:t xml:space="preserve">Важно: </w:t>
      </w:r>
      <w:r>
        <w:rPr>
          <w:rFonts w:ascii="Arial" w:hAnsi="Arial" w:eastAsia="Arial"/>
          <w:sz w:val="20"/>
        </w:rPr>
        <w:t>в рамках отбора не требуется направлять сведения о ценах товаров, объемах поставок, коммерческих условиях, клиентах, поставщиках, каналах продаж или иных конкурентно чувствительных параметрах деятельности участников рынка.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7F7F7F"/>
        <w:sz w:val="16"/>
      </w:rPr>
      <w:t>Информация для участников отбора ·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color w:val="7F7F7F"/>
        <w:sz w:val="16"/>
      </w:rPr>
      <w:t>Приложение к анонсу АИДТ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20"/>
    </w:pPr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40" w:after="6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F4E7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