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E1" w:rsidRDefault="00781AF7" w:rsidP="006A72B7">
      <w:pPr>
        <w:spacing w:line="240" w:lineRule="auto"/>
        <w:ind w:left="5385"/>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Вносится Правительством </w:t>
      </w:r>
    </w:p>
    <w:p w:rsidR="007F49E1" w:rsidRDefault="00781AF7" w:rsidP="006A72B7">
      <w:pPr>
        <w:spacing w:line="240" w:lineRule="auto"/>
        <w:ind w:left="5385"/>
        <w:rPr>
          <w:rFonts w:ascii="Times New Roman" w:eastAsia="Times New Roman" w:hAnsi="Times New Roman" w:cs="Times New Roman"/>
          <w:sz w:val="34"/>
          <w:szCs w:val="34"/>
        </w:rPr>
      </w:pPr>
      <w:r>
        <w:rPr>
          <w:rFonts w:ascii="Times New Roman" w:eastAsia="Times New Roman" w:hAnsi="Times New Roman" w:cs="Times New Roman"/>
          <w:sz w:val="28"/>
          <w:szCs w:val="28"/>
        </w:rPr>
        <w:t>Российской Федерации</w:t>
      </w:r>
    </w:p>
    <w:p w:rsidR="007F49E1" w:rsidRDefault="007F49E1" w:rsidP="006A72B7">
      <w:pPr>
        <w:spacing w:line="240" w:lineRule="auto"/>
        <w:rPr>
          <w:rFonts w:ascii="Times New Roman" w:eastAsia="Times New Roman" w:hAnsi="Times New Roman" w:cs="Times New Roman"/>
          <w:sz w:val="28"/>
          <w:szCs w:val="28"/>
        </w:rPr>
      </w:pPr>
    </w:p>
    <w:p w:rsidR="007F49E1" w:rsidRDefault="007F49E1" w:rsidP="006A72B7">
      <w:pPr>
        <w:spacing w:line="240" w:lineRule="auto"/>
        <w:rPr>
          <w:rFonts w:ascii="Times New Roman" w:eastAsia="Times New Roman" w:hAnsi="Times New Roman" w:cs="Times New Roman"/>
          <w:sz w:val="28"/>
          <w:szCs w:val="28"/>
        </w:rPr>
      </w:pPr>
    </w:p>
    <w:p w:rsidR="007F49E1" w:rsidRDefault="007F49E1" w:rsidP="006A72B7">
      <w:pPr>
        <w:spacing w:line="240" w:lineRule="auto"/>
        <w:rPr>
          <w:rFonts w:ascii="Times New Roman" w:eastAsia="Times New Roman" w:hAnsi="Times New Roman" w:cs="Times New Roman"/>
          <w:sz w:val="28"/>
          <w:szCs w:val="28"/>
        </w:rPr>
      </w:pPr>
    </w:p>
    <w:p w:rsidR="007F49E1" w:rsidRDefault="007F49E1" w:rsidP="006A72B7">
      <w:pPr>
        <w:spacing w:line="240" w:lineRule="auto"/>
        <w:rPr>
          <w:rFonts w:ascii="Times New Roman" w:eastAsia="Times New Roman" w:hAnsi="Times New Roman" w:cs="Times New Roman"/>
          <w:sz w:val="28"/>
          <w:szCs w:val="28"/>
        </w:rPr>
      </w:pPr>
    </w:p>
    <w:p w:rsidR="007F49E1" w:rsidRDefault="00781AF7" w:rsidP="006A72B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ФЕДЕРАЛЬНЫЙ ЗАКОН</w:t>
      </w:r>
    </w:p>
    <w:p w:rsidR="007F49E1" w:rsidRDefault="00781AF7" w:rsidP="006A72B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w:t>
      </w:r>
    </w:p>
    <w:p w:rsidR="007F49E1" w:rsidRDefault="007F49E1" w:rsidP="006A72B7">
      <w:pPr>
        <w:spacing w:line="240" w:lineRule="auto"/>
        <w:rPr>
          <w:rFonts w:ascii="Times New Roman" w:eastAsia="Times New Roman" w:hAnsi="Times New Roman" w:cs="Times New Roman"/>
          <w:b/>
          <w:sz w:val="28"/>
          <w:szCs w:val="28"/>
        </w:rPr>
      </w:pPr>
    </w:p>
    <w:p w:rsidR="007F49E1" w:rsidRDefault="00781AF7" w:rsidP="006A72B7">
      <w:pPr>
        <w:spacing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Федеральный закон от 24 июля 1998 года № 124-ФЗ </w:t>
      </w:r>
      <w:r w:rsidR="006A72B7">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«Об основных гарантиях прав ребенка в Российской Федерации» (Собрание законодательства Российской Федерации, 1998, № 31, ст. 3802; 2008, № 30, ст. 3616; 2009, № 23, ст. 2773; 2011, № 30, ст. 4600; 2013, № 26, ст. 3208) следующие изменения:</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 3 статьи 14 изложить в следующей редакции:</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ru-RU"/>
        </w:rPr>
        <w:t> </w:t>
      </w:r>
      <w:proofErr w:type="gramStart"/>
      <w:r w:rsidR="00781AF7">
        <w:rPr>
          <w:rFonts w:ascii="Times New Roman" w:eastAsia="Times New Roman" w:hAnsi="Times New Roman" w:cs="Times New Roman"/>
          <w:sz w:val="28"/>
          <w:szCs w:val="28"/>
        </w:rPr>
        <w:t xml:space="preserve">В целях обеспечения охраны психического здоровья ребенка по инициативе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индивидуальных предпринимателей, общественных объединений, граждан на договорной основе за счет средств заявителя может проводиться экспертиза оценки возможного риска для психического здоровья детей настольных, компьютерных и иных игр, игрушек и игровых сооружений (далее </w:t>
      </w:r>
      <w:r>
        <w:rPr>
          <w:rFonts w:ascii="Times New Roman" w:eastAsia="Times New Roman" w:hAnsi="Times New Roman" w:cs="Times New Roman"/>
          <w:sz w:val="28"/>
          <w:szCs w:val="28"/>
          <w:lang w:val="ru-RU"/>
        </w:rPr>
        <w:t>–</w:t>
      </w:r>
      <w:r w:rsidR="00781AF7">
        <w:rPr>
          <w:rFonts w:ascii="Times New Roman" w:eastAsia="Times New Roman" w:hAnsi="Times New Roman" w:cs="Times New Roman"/>
          <w:sz w:val="28"/>
          <w:szCs w:val="28"/>
        </w:rPr>
        <w:t xml:space="preserve"> Экспертиза).».</w:t>
      </w:r>
      <w:proofErr w:type="gramEnd"/>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дополнить статью 14 пунктами 4-8 следующего содержания:</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Риском для психического здоровья детей, указанным в пункте 3 настоящей статьи, считаются случаи, когда настольные, компьютерные и иные игры, игрушки или игровые сооружения изображают и (или) описывают:</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допустимость действий, представляющих угрозу жизни и (или) здоровью детей, в том числе причинение вреда своему здоровью, самоубийства, либо жизни и (или) здоровью иных лиц, а также насилия и (или) жестокости по отношению к людям или животным;</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потребление наркотических средств и (или) психотропных веществ, табачных изделий, никотинсодержащей продукции, алкогольной и спиртосодержащей продукции;</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сцены сексуального насилия, порнографического характера, половых отношений;</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противоправное поведение, в том числе занятие проституцией, бродяжничеством или попрошайничеством;</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азартных играх;</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случаи смерти в унижающей человеческое достоинство форме, нанесение увечий, заболевания, несчастного случая, аварии или катастрофы и (или) их последствий;</w:t>
      </w:r>
    </w:p>
    <w:p w:rsidR="007F49E1" w:rsidRDefault="00781AF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случаи оскорбления религиозных чувств верующих,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Экспертиза проводится комиссиями экспертов федеральных государственных бюджетных учреждений, определяемых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экспертное учреждение).</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Правила проведения Экспертизы, включая порядок формирования комиссии экспертов и ее деятельности, а также форма заключения по итогам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Заключение по результатам Экспертизы направляется заявителю. В случае выявления по результатам Экспертизы возможного риска, из числа указанных в пункте 4 настоящей статьи, заключение комиссии экспертов направляется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защиты прав потребителей для решения вопроса о приостановке обращения таких настольных игр и игрушек в порядке, установленном законодательством Российской Федерации.</w:t>
      </w:r>
    </w:p>
    <w:p w:rsidR="007F49E1" w:rsidRDefault="006A72B7" w:rsidP="006A72B7">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 xml:space="preserve">В </w:t>
      </w:r>
      <w:proofErr w:type="gramStart"/>
      <w:r w:rsidR="00781AF7">
        <w:rPr>
          <w:rFonts w:ascii="Times New Roman" w:eastAsia="Times New Roman" w:hAnsi="Times New Roman" w:cs="Times New Roman"/>
          <w:sz w:val="28"/>
          <w:szCs w:val="28"/>
        </w:rPr>
        <w:t>случае</w:t>
      </w:r>
      <w:proofErr w:type="gramEnd"/>
      <w:r w:rsidR="00781AF7">
        <w:rPr>
          <w:rFonts w:ascii="Times New Roman" w:eastAsia="Times New Roman" w:hAnsi="Times New Roman" w:cs="Times New Roman"/>
          <w:sz w:val="28"/>
          <w:szCs w:val="28"/>
        </w:rPr>
        <w:t xml:space="preserve"> несогласия с результатами проведенной Экспертизы производитель, заявитель, а также иные заинтересованные лица вправе оспорить их в судебном порядке.».</w:t>
      </w:r>
    </w:p>
    <w:p w:rsidR="007F49E1" w:rsidRDefault="007F49E1" w:rsidP="006A72B7">
      <w:pPr>
        <w:spacing w:line="240" w:lineRule="auto"/>
        <w:ind w:left="5527"/>
        <w:jc w:val="center"/>
        <w:rPr>
          <w:rFonts w:ascii="Times New Roman" w:eastAsia="Times New Roman" w:hAnsi="Times New Roman" w:cs="Times New Roman"/>
          <w:sz w:val="28"/>
          <w:szCs w:val="28"/>
        </w:rPr>
      </w:pPr>
    </w:p>
    <w:p w:rsidR="007F49E1" w:rsidRDefault="00781AF7" w:rsidP="006A72B7">
      <w:pPr>
        <w:spacing w:line="240" w:lineRule="auto"/>
        <w:ind w:left="55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Президент</w:t>
      </w:r>
    </w:p>
    <w:p w:rsidR="007F49E1" w:rsidRDefault="00781AF7" w:rsidP="006A72B7">
      <w:pPr>
        <w:spacing w:line="240" w:lineRule="auto"/>
        <w:ind w:left="55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7F49E1" w:rsidRDefault="00781AF7" w:rsidP="006A72B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F49E1" w:rsidRDefault="007F49E1">
      <w:pPr>
        <w:rPr>
          <w:rFonts w:ascii="Times New Roman" w:eastAsia="Times New Roman" w:hAnsi="Times New Roman" w:cs="Times New Roman"/>
          <w:sz w:val="28"/>
          <w:szCs w:val="28"/>
        </w:rPr>
      </w:pPr>
    </w:p>
    <w:p w:rsidR="007F49E1" w:rsidRDefault="007F49E1">
      <w:pPr>
        <w:rPr>
          <w:rFonts w:ascii="Times New Roman" w:eastAsia="Times New Roman" w:hAnsi="Times New Roman" w:cs="Times New Roman"/>
          <w:sz w:val="28"/>
          <w:szCs w:val="28"/>
        </w:rPr>
      </w:pPr>
    </w:p>
    <w:p w:rsidR="007F49E1" w:rsidRDefault="007F49E1">
      <w:pPr>
        <w:rPr>
          <w:rFonts w:ascii="Times New Roman" w:eastAsia="Times New Roman" w:hAnsi="Times New Roman" w:cs="Times New Roman"/>
          <w:sz w:val="28"/>
          <w:szCs w:val="28"/>
        </w:rPr>
      </w:pPr>
    </w:p>
    <w:p w:rsidR="007F49E1" w:rsidRDefault="007F49E1">
      <w:pPr>
        <w:rPr>
          <w:rFonts w:ascii="Times New Roman" w:eastAsia="Times New Roman" w:hAnsi="Times New Roman" w:cs="Times New Roman"/>
          <w:sz w:val="28"/>
          <w:szCs w:val="28"/>
        </w:rPr>
      </w:pPr>
    </w:p>
    <w:p w:rsidR="007F49E1" w:rsidRDefault="007F49E1">
      <w:pPr>
        <w:rPr>
          <w:rFonts w:ascii="Times New Roman" w:eastAsia="Times New Roman" w:hAnsi="Times New Roman" w:cs="Times New Roman"/>
          <w:sz w:val="28"/>
          <w:szCs w:val="28"/>
        </w:rPr>
      </w:pPr>
    </w:p>
    <w:p w:rsidR="007F49E1" w:rsidRDefault="00781AF7" w:rsidP="006A72B7">
      <w:pPr>
        <w:spacing w:line="240" w:lineRule="auto"/>
        <w:ind w:righ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7F49E1" w:rsidRDefault="00781AF7" w:rsidP="006A72B7">
      <w:pPr>
        <w:spacing w:line="240" w:lineRule="auto"/>
        <w:ind w:righ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проекту федерального закона «О внесении изменений</w:t>
      </w:r>
    </w:p>
    <w:p w:rsidR="007F49E1" w:rsidRDefault="00781AF7" w:rsidP="006A72B7">
      <w:pPr>
        <w:spacing w:line="240" w:lineRule="auto"/>
        <w:ind w:righ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отдельные законодательные акты Российской Федерации по вопросу</w:t>
      </w:r>
    </w:p>
    <w:p w:rsidR="007F49E1" w:rsidRDefault="00781AF7" w:rsidP="006A72B7">
      <w:pPr>
        <w:spacing w:line="240" w:lineRule="auto"/>
        <w:ind w:righ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проведения экспертизы возможного риска от применения настольных игр и игрушек для психического здоровья детей»</w:t>
      </w:r>
    </w:p>
    <w:p w:rsidR="007F49E1" w:rsidRDefault="00781AF7">
      <w:pPr>
        <w:ind w:right="-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федерального закона «О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 (далее – проект федерального закона) разработан в рамках исполнения поручения Заместителя Председателя Правительства Российской Федерации Т.А. Голиковой от 18.02.2020 № ТГ-П12-1042. Проект федерального закона подготовлен с учетом позиций главного внештатного специалиста психиатра Минздрава России, ФГБУ </w:t>
      </w:r>
      <w:r>
        <w:rPr>
          <w:rFonts w:ascii="Times New Roman" w:eastAsia="Times New Roman" w:hAnsi="Times New Roman" w:cs="Times New Roman"/>
          <w:sz w:val="28"/>
          <w:szCs w:val="28"/>
        </w:rPr>
        <w:lastRenderedPageBreak/>
        <w:t>«НМИЦ ПН им. В.М. Бехтерева» Минздрава России и других научных организаций.</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федерального закона направлен на защиту детей от возможного риска от применения настольных игр и игрушек для психического здоровья детей.</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указанного вопроса предлагается осуществлять путем установления перечня рисков от применения настольных игр и игрушек для психического здоровья детей, а также возможности проведения экспертизы по выявлению указанных рисков.  Проектом федерального закона к таким рискам отнесены случаи, когда настольные игры и (или) игрушки изображают и (или) описывают допустимость действий, представляющих угрозу жизни и (или) здоровью детей, в том числе причинение вреда своему здоровью, самоубийства, либо жизни и (или) здоровью иных лиц, а также насилия и (или) жестокости по отношению к людям или животным; потребление наркотических средств и (или) психотропных веществ, табачных изделий, никотинсодержащей продукции, алкогольной и спиртосодержащей продукции; сцены сексуального насилия, порнографического характера, половых отношений; противоправное поведение, в том числе занятие проституцией, бродяжничеством или попрошайничеством; участие в азартных играх; случаи смерти в унижающей человеческое достоинство форме, нанесение увечий, заболевания, несчастного случая, аварии или катастрофы и (или) их последствий; случаи оскорбления религиозных чувств верующих,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экспертизы является выявление рисков для психического здоровья детей, поименованных в пункте 4 проектной редакции статьи 14. При этом необходимо отметить, что данная экспертиза по своей правовой природе относится к самостоятельному виду психолого-психиатрических экспертиз, не являясь одним из видов медицинских экспертиз, поименованных в статье 58 Федерального закона от 21 ноября 2011 года № 323-ФЗ «Об основах охраны здоровья граждан в Российской Федерации». Это связано с тем, что медицинские экспертизы, в отличие от экспертизы </w:t>
      </w:r>
      <w:r>
        <w:rPr>
          <w:rFonts w:ascii="Times New Roman" w:eastAsia="Times New Roman" w:hAnsi="Times New Roman" w:cs="Times New Roman"/>
          <w:sz w:val="28"/>
          <w:szCs w:val="28"/>
        </w:rPr>
        <w:lastRenderedPageBreak/>
        <w:t>игрушки, в качестве объекта предполагают человека, а предмета экспертизы - характер и объем  изменения его здоровья.</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Проектом федерального закона устанавливаются условия и порядок проведения вышеуказанной экспертизы, перечень случаев риска для психического здоровья детей от применения настольных игр и игрушек, условия приостановки обращения настольных игр и игрушек в случае выявления по результатам проведенной экспертизы факторов, негативно влияющих на здоровье и психику ребенка.</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проекте федерального закона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федерального закона не повлияет на достижение целей государственных программ Российской Федерации, а также не будет иметь социально-экономических и финансовых последствий, в том числе для субъектов предпринимательской и иной экономической деятельности.</w:t>
      </w: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федерального закона соответствует положениям Договора о Евразийском экономическом союзе, положениям иных международных договоров Российской Федерации и не противоречит законодательству Российской Федерации.</w:t>
      </w: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F49E1">
      <w:pPr>
        <w:ind w:firstLine="708"/>
        <w:rPr>
          <w:rFonts w:ascii="Times New Roman" w:eastAsia="Times New Roman" w:hAnsi="Times New Roman" w:cs="Times New Roman"/>
          <w:sz w:val="28"/>
          <w:szCs w:val="28"/>
        </w:rPr>
      </w:pPr>
    </w:p>
    <w:p w:rsidR="007F49E1" w:rsidRDefault="00781AF7" w:rsidP="006A72B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ФИНАНСОВО-ЭКОНОМИЧЕСКОЕ ОБОСНОВАНИЕ</w:t>
      </w:r>
    </w:p>
    <w:p w:rsidR="007F49E1" w:rsidRDefault="00781AF7" w:rsidP="006A72B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 проекту федерального закона «О внесении изменений </w:t>
      </w:r>
    </w:p>
    <w:p w:rsidR="007F49E1" w:rsidRDefault="00781AF7" w:rsidP="006A72B7">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w:t>
      </w:r>
    </w:p>
    <w:p w:rsidR="007F49E1" w:rsidRDefault="007F49E1">
      <w:pPr>
        <w:pBdr>
          <w:top w:val="nil"/>
          <w:left w:val="nil"/>
          <w:bottom w:val="nil"/>
          <w:right w:val="nil"/>
          <w:between w:val="nil"/>
        </w:pBdr>
        <w:ind w:firstLine="705"/>
        <w:jc w:val="center"/>
        <w:rPr>
          <w:rFonts w:ascii="Times New Roman" w:eastAsia="Times New Roman" w:hAnsi="Times New Roman" w:cs="Times New Roman"/>
          <w:b/>
          <w:sz w:val="28"/>
          <w:szCs w:val="28"/>
        </w:rPr>
      </w:pPr>
    </w:p>
    <w:p w:rsidR="007F49E1" w:rsidRDefault="00781AF7" w:rsidP="00855993">
      <w:pPr>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проекта федерального закона не потребует дополнительных расходов из федерального бюджета, бюджета субъектов Российской Федерации, местных бюджетов и бюджетов государственных внебюджетных фондов.</w:t>
      </w: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pPr>
        <w:spacing w:before="240" w:after="240"/>
        <w:jc w:val="center"/>
        <w:rPr>
          <w:rFonts w:ascii="Times New Roman" w:eastAsia="Times New Roman" w:hAnsi="Times New Roman" w:cs="Times New Roman"/>
          <w:b/>
          <w:sz w:val="28"/>
          <w:szCs w:val="28"/>
        </w:rPr>
      </w:pPr>
    </w:p>
    <w:p w:rsidR="007F49E1" w:rsidRDefault="007F49E1" w:rsidP="00855993">
      <w:pPr>
        <w:spacing w:before="240" w:after="240"/>
        <w:rPr>
          <w:rFonts w:ascii="Times New Roman" w:eastAsia="Times New Roman" w:hAnsi="Times New Roman" w:cs="Times New Roman"/>
          <w:b/>
          <w:sz w:val="28"/>
          <w:szCs w:val="28"/>
          <w:lang w:val="ru-RU"/>
        </w:rPr>
      </w:pPr>
    </w:p>
    <w:p w:rsidR="00855993" w:rsidRPr="00855993" w:rsidRDefault="00855993" w:rsidP="00855993">
      <w:pPr>
        <w:spacing w:before="240" w:after="240"/>
        <w:rPr>
          <w:rFonts w:ascii="Times New Roman" w:eastAsia="Times New Roman" w:hAnsi="Times New Roman" w:cs="Times New Roman"/>
          <w:b/>
          <w:sz w:val="28"/>
          <w:szCs w:val="28"/>
          <w:lang w:val="ru-RU"/>
        </w:rPr>
      </w:pPr>
    </w:p>
    <w:p w:rsidR="007F49E1" w:rsidRDefault="00781AF7">
      <w:pPr>
        <w:spacing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Е Р Е Ч Е Н Ь </w:t>
      </w:r>
    </w:p>
    <w:p w:rsidR="007F49E1" w:rsidRDefault="00781AF7" w:rsidP="0085599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приостановлению, изменению или принятию в связи с принятием проекта федерального закона «О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w:t>
      </w:r>
      <w:r>
        <w:rPr>
          <w:rFonts w:ascii="Times New Roman" w:eastAsia="Times New Roman" w:hAnsi="Times New Roman" w:cs="Times New Roman"/>
          <w:sz w:val="28"/>
          <w:szCs w:val="28"/>
        </w:rPr>
        <w:t xml:space="preserve"> </w:t>
      </w:r>
    </w:p>
    <w:p w:rsidR="00855993" w:rsidRDefault="00855993" w:rsidP="00855993">
      <w:pPr>
        <w:spacing w:line="240" w:lineRule="auto"/>
        <w:ind w:firstLine="700"/>
        <w:jc w:val="both"/>
        <w:rPr>
          <w:rFonts w:ascii="Times New Roman" w:eastAsia="Times New Roman" w:hAnsi="Times New Roman" w:cs="Times New Roman"/>
          <w:sz w:val="28"/>
          <w:szCs w:val="28"/>
          <w:lang w:val="ru-RU"/>
        </w:rPr>
      </w:pPr>
    </w:p>
    <w:p w:rsidR="00855993" w:rsidRDefault="00781AF7" w:rsidP="00855993">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Принятие проекта федерального закона «О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 потребует принятия:</w:t>
      </w:r>
    </w:p>
    <w:p w:rsidR="007F49E1" w:rsidRDefault="00855993" w:rsidP="0085599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 </w:t>
      </w:r>
      <w:r w:rsidR="00781AF7">
        <w:rPr>
          <w:rFonts w:ascii="Times New Roman" w:eastAsia="Times New Roman" w:hAnsi="Times New Roman" w:cs="Times New Roman"/>
          <w:sz w:val="28"/>
          <w:szCs w:val="28"/>
        </w:rPr>
        <w:t xml:space="preserve">Приказ Минздрава России «Об утверждении Правил проведения экспертизы, включая порядок формирования комиссии экспертов и ее деятельности, а также формы заключения по итогам экспертизы </w:t>
      </w:r>
      <w:r w:rsidR="00781AF7">
        <w:rPr>
          <w:rFonts w:ascii="Times New Roman" w:eastAsia="Times New Roman" w:hAnsi="Times New Roman" w:cs="Times New Roman"/>
          <w:sz w:val="28"/>
          <w:szCs w:val="28"/>
        </w:rPr>
        <w:lastRenderedPageBreak/>
        <w:t>возможного риска от применения настольных игр и игрушек для психического здоровья детей».</w:t>
      </w:r>
    </w:p>
    <w:p w:rsidR="007F49E1" w:rsidRDefault="00781AF7" w:rsidP="0085599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разработки – проект федерального закона.</w:t>
      </w:r>
    </w:p>
    <w:p w:rsidR="007F49E1" w:rsidRDefault="00781AF7" w:rsidP="0085599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предмет и содержание правового регулирования – установление правил проведения экспертизы, включая порядок формирования комиссии экспертов и ее деятельности, а также форма заключения по итогам экспертизы.</w:t>
      </w:r>
    </w:p>
    <w:p w:rsidR="007F49E1" w:rsidRDefault="00781AF7" w:rsidP="0085599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 3 месяца после вступления в силу федерального закона.</w:t>
      </w:r>
    </w:p>
    <w:p w:rsidR="007F49E1" w:rsidRDefault="00781AF7" w:rsidP="0085599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 Минздрав России.</w:t>
      </w:r>
    </w:p>
    <w:p w:rsidR="007F49E1" w:rsidRPr="00855993" w:rsidRDefault="007F49E1">
      <w:pPr>
        <w:ind w:firstLine="700"/>
        <w:jc w:val="both"/>
        <w:rPr>
          <w:rFonts w:ascii="Times New Roman" w:eastAsia="Times New Roman" w:hAnsi="Times New Roman" w:cs="Times New Roman"/>
          <w:sz w:val="28"/>
          <w:szCs w:val="28"/>
          <w:lang w:val="ru-RU"/>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7F49E1" w:rsidRDefault="007F49E1">
      <w:pPr>
        <w:ind w:firstLine="708"/>
        <w:jc w:val="both"/>
        <w:rPr>
          <w:rFonts w:ascii="Times New Roman" w:eastAsia="Times New Roman" w:hAnsi="Times New Roman" w:cs="Times New Roman"/>
          <w:sz w:val="28"/>
          <w:szCs w:val="28"/>
        </w:rPr>
      </w:pPr>
    </w:p>
    <w:p w:rsidR="00855993" w:rsidRDefault="00855993">
      <w:pPr>
        <w:spacing w:line="240" w:lineRule="auto"/>
        <w:jc w:val="center"/>
        <w:rPr>
          <w:rFonts w:ascii="Times New Roman" w:eastAsia="Times New Roman" w:hAnsi="Times New Roman" w:cs="Times New Roman"/>
          <w:b/>
          <w:sz w:val="28"/>
          <w:szCs w:val="28"/>
          <w:lang w:val="ru-RU"/>
        </w:rPr>
      </w:pPr>
    </w:p>
    <w:p w:rsidR="00855993" w:rsidRDefault="00855993">
      <w:pPr>
        <w:spacing w:line="240" w:lineRule="auto"/>
        <w:jc w:val="center"/>
        <w:rPr>
          <w:rFonts w:ascii="Times New Roman" w:eastAsia="Times New Roman" w:hAnsi="Times New Roman" w:cs="Times New Roman"/>
          <w:b/>
          <w:sz w:val="28"/>
          <w:szCs w:val="28"/>
          <w:lang w:val="ru-RU"/>
        </w:rPr>
      </w:pPr>
    </w:p>
    <w:p w:rsidR="00855993" w:rsidRDefault="00855993">
      <w:pPr>
        <w:spacing w:line="240" w:lineRule="auto"/>
        <w:jc w:val="center"/>
        <w:rPr>
          <w:rFonts w:ascii="Times New Roman" w:eastAsia="Times New Roman" w:hAnsi="Times New Roman" w:cs="Times New Roman"/>
          <w:b/>
          <w:sz w:val="28"/>
          <w:szCs w:val="28"/>
          <w:lang w:val="ru-RU"/>
        </w:rPr>
      </w:pPr>
    </w:p>
    <w:p w:rsidR="00855993" w:rsidRDefault="00855993">
      <w:pPr>
        <w:spacing w:line="240" w:lineRule="auto"/>
        <w:jc w:val="center"/>
        <w:rPr>
          <w:rFonts w:ascii="Times New Roman" w:eastAsia="Times New Roman" w:hAnsi="Times New Roman" w:cs="Times New Roman"/>
          <w:b/>
          <w:sz w:val="28"/>
          <w:szCs w:val="28"/>
          <w:lang w:val="ru-RU"/>
        </w:rPr>
      </w:pPr>
    </w:p>
    <w:p w:rsidR="00855993" w:rsidRDefault="00855993">
      <w:pPr>
        <w:spacing w:line="240" w:lineRule="auto"/>
        <w:jc w:val="center"/>
        <w:rPr>
          <w:rFonts w:ascii="Times New Roman" w:eastAsia="Times New Roman" w:hAnsi="Times New Roman" w:cs="Times New Roman"/>
          <w:b/>
          <w:sz w:val="28"/>
          <w:szCs w:val="28"/>
          <w:lang w:val="ru-RU"/>
        </w:rPr>
      </w:pPr>
    </w:p>
    <w:p w:rsidR="007F49E1" w:rsidRDefault="00781AF7" w:rsidP="00855993">
      <w:pPr>
        <w:spacing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Е Р Е Ч Е Н Ь</w:t>
      </w:r>
    </w:p>
    <w:p w:rsidR="007F49E1" w:rsidRDefault="00781AF7" w:rsidP="0085599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федеральных законов, подлежащих признанию утратившими силу, приостановлению, изменению или принятию в связи с принятием проекта федерального закона «О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w:t>
      </w:r>
    </w:p>
    <w:p w:rsidR="007F49E1" w:rsidRDefault="00781AF7" w:rsidP="00855993">
      <w:pPr>
        <w:spacing w:before="240" w:after="24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Принятие проекта федерального закона «О внесении изменений в отдельные законодательные акты Российской Федерации по вопросу проведения экспертизы возможного риска от применения настольных игр и игрушек для психического здоровья детей» не потребует признания </w:t>
      </w:r>
      <w:proofErr w:type="gramStart"/>
      <w:r>
        <w:rPr>
          <w:rFonts w:ascii="Times New Roman" w:eastAsia="Times New Roman" w:hAnsi="Times New Roman" w:cs="Times New Roman"/>
          <w:sz w:val="28"/>
          <w:szCs w:val="28"/>
        </w:rPr>
        <w:t>утратившими</w:t>
      </w:r>
      <w:proofErr w:type="gramEnd"/>
      <w:r>
        <w:rPr>
          <w:rFonts w:ascii="Times New Roman" w:eastAsia="Times New Roman" w:hAnsi="Times New Roman" w:cs="Times New Roman"/>
          <w:sz w:val="28"/>
          <w:szCs w:val="28"/>
        </w:rPr>
        <w:t xml:space="preserve"> силу, приостановления, изменения или принятия других федеральных законов.</w:t>
      </w:r>
    </w:p>
    <w:p w:rsidR="007F49E1" w:rsidRDefault="007F49E1">
      <w:pPr>
        <w:ind w:firstLine="708"/>
        <w:jc w:val="both"/>
        <w:rPr>
          <w:rFonts w:ascii="Times New Roman" w:eastAsia="Times New Roman" w:hAnsi="Times New Roman" w:cs="Times New Roman"/>
          <w:sz w:val="28"/>
          <w:szCs w:val="28"/>
        </w:rPr>
      </w:pPr>
    </w:p>
    <w:sectPr w:rsidR="007F49E1" w:rsidSect="00084114">
      <w:pgSz w:w="11909" w:h="16834"/>
      <w:pgMar w:top="1440" w:right="1399"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B7" w:rsidRDefault="006A72B7" w:rsidP="006A72B7">
      <w:pPr>
        <w:spacing w:line="240" w:lineRule="auto"/>
      </w:pPr>
      <w:r>
        <w:separator/>
      </w:r>
    </w:p>
  </w:endnote>
  <w:endnote w:type="continuationSeparator" w:id="0">
    <w:p w:rsidR="006A72B7" w:rsidRDefault="006A72B7" w:rsidP="006A7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B7" w:rsidRDefault="006A72B7" w:rsidP="006A72B7">
      <w:pPr>
        <w:spacing w:line="240" w:lineRule="auto"/>
      </w:pPr>
      <w:r>
        <w:separator/>
      </w:r>
    </w:p>
  </w:footnote>
  <w:footnote w:type="continuationSeparator" w:id="0">
    <w:p w:rsidR="006A72B7" w:rsidRDefault="006A72B7" w:rsidP="006A72B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49E1"/>
    <w:rsid w:val="00084114"/>
    <w:rsid w:val="006A72B7"/>
    <w:rsid w:val="00781AF7"/>
    <w:rsid w:val="007F49E1"/>
    <w:rsid w:val="0085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114"/>
  </w:style>
  <w:style w:type="paragraph" w:styleId="1">
    <w:name w:val="heading 1"/>
    <w:basedOn w:val="a"/>
    <w:next w:val="a"/>
    <w:rsid w:val="00084114"/>
    <w:pPr>
      <w:keepNext/>
      <w:keepLines/>
      <w:spacing w:before="400" w:after="120"/>
      <w:outlineLvl w:val="0"/>
    </w:pPr>
    <w:rPr>
      <w:sz w:val="40"/>
      <w:szCs w:val="40"/>
    </w:rPr>
  </w:style>
  <w:style w:type="paragraph" w:styleId="2">
    <w:name w:val="heading 2"/>
    <w:basedOn w:val="a"/>
    <w:next w:val="a"/>
    <w:rsid w:val="00084114"/>
    <w:pPr>
      <w:keepNext/>
      <w:keepLines/>
      <w:spacing w:before="360" w:after="120"/>
      <w:outlineLvl w:val="1"/>
    </w:pPr>
    <w:rPr>
      <w:sz w:val="32"/>
      <w:szCs w:val="32"/>
    </w:rPr>
  </w:style>
  <w:style w:type="paragraph" w:styleId="3">
    <w:name w:val="heading 3"/>
    <w:basedOn w:val="a"/>
    <w:next w:val="a"/>
    <w:rsid w:val="00084114"/>
    <w:pPr>
      <w:keepNext/>
      <w:keepLines/>
      <w:spacing w:before="320" w:after="80"/>
      <w:outlineLvl w:val="2"/>
    </w:pPr>
    <w:rPr>
      <w:color w:val="434343"/>
      <w:sz w:val="28"/>
      <w:szCs w:val="28"/>
    </w:rPr>
  </w:style>
  <w:style w:type="paragraph" w:styleId="4">
    <w:name w:val="heading 4"/>
    <w:basedOn w:val="a"/>
    <w:next w:val="a"/>
    <w:rsid w:val="00084114"/>
    <w:pPr>
      <w:keepNext/>
      <w:keepLines/>
      <w:spacing w:before="280" w:after="80"/>
      <w:outlineLvl w:val="3"/>
    </w:pPr>
    <w:rPr>
      <w:color w:val="666666"/>
      <w:sz w:val="24"/>
      <w:szCs w:val="24"/>
    </w:rPr>
  </w:style>
  <w:style w:type="paragraph" w:styleId="5">
    <w:name w:val="heading 5"/>
    <w:basedOn w:val="a"/>
    <w:next w:val="a"/>
    <w:rsid w:val="00084114"/>
    <w:pPr>
      <w:keepNext/>
      <w:keepLines/>
      <w:spacing w:before="240" w:after="80"/>
      <w:outlineLvl w:val="4"/>
    </w:pPr>
    <w:rPr>
      <w:color w:val="666666"/>
    </w:rPr>
  </w:style>
  <w:style w:type="paragraph" w:styleId="6">
    <w:name w:val="heading 6"/>
    <w:basedOn w:val="a"/>
    <w:next w:val="a"/>
    <w:rsid w:val="0008411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4114"/>
    <w:tblPr>
      <w:tblCellMar>
        <w:top w:w="0" w:type="dxa"/>
        <w:left w:w="0" w:type="dxa"/>
        <w:bottom w:w="0" w:type="dxa"/>
        <w:right w:w="0" w:type="dxa"/>
      </w:tblCellMar>
    </w:tblPr>
  </w:style>
  <w:style w:type="paragraph" w:styleId="a3">
    <w:name w:val="Title"/>
    <w:basedOn w:val="a"/>
    <w:next w:val="a"/>
    <w:rsid w:val="00084114"/>
    <w:pPr>
      <w:keepNext/>
      <w:keepLines/>
      <w:spacing w:after="60"/>
    </w:pPr>
    <w:rPr>
      <w:sz w:val="52"/>
      <w:szCs w:val="52"/>
    </w:rPr>
  </w:style>
  <w:style w:type="paragraph" w:styleId="a4">
    <w:name w:val="Subtitle"/>
    <w:basedOn w:val="a"/>
    <w:next w:val="a"/>
    <w:rsid w:val="00084114"/>
    <w:pPr>
      <w:keepNext/>
      <w:keepLines/>
      <w:spacing w:after="320"/>
    </w:pPr>
    <w:rPr>
      <w:color w:val="666666"/>
      <w:sz w:val="30"/>
      <w:szCs w:val="30"/>
    </w:rPr>
  </w:style>
  <w:style w:type="paragraph" w:styleId="a5">
    <w:name w:val="header"/>
    <w:basedOn w:val="a"/>
    <w:link w:val="a6"/>
    <w:uiPriority w:val="99"/>
    <w:semiHidden/>
    <w:unhideWhenUsed/>
    <w:rsid w:val="006A72B7"/>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6A72B7"/>
  </w:style>
  <w:style w:type="paragraph" w:styleId="a7">
    <w:name w:val="footer"/>
    <w:basedOn w:val="a"/>
    <w:link w:val="a8"/>
    <w:uiPriority w:val="99"/>
    <w:semiHidden/>
    <w:unhideWhenUsed/>
    <w:rsid w:val="006A72B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6A72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620FE-1286-49DA-BA06-521A5C17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Сошкина Кристина Владимировна</dc:creator>
  <cp:lastModifiedBy>BogdanovaIV</cp:lastModifiedBy>
  <cp:revision>3</cp:revision>
  <dcterms:created xsi:type="dcterms:W3CDTF">2020-11-23T12:49:00Z</dcterms:created>
  <dcterms:modified xsi:type="dcterms:W3CDTF">2020-11-24T14:57:00Z</dcterms:modified>
</cp:coreProperties>
</file>